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2313"/>
        <w:gridCol w:w="234"/>
        <w:gridCol w:w="4016"/>
        <w:gridCol w:w="1468"/>
        <w:gridCol w:w="2163"/>
      </w:tblGrid>
      <w:tr w:rsidR="00087166" w14:paraId="4BFDEF54" w14:textId="77777777" w:rsidTr="00AA2A14">
        <w:tc>
          <w:tcPr>
            <w:tcW w:w="1134" w:type="pct"/>
          </w:tcPr>
          <w:p w14:paraId="6BAA38F3" w14:textId="77777777" w:rsidR="00087166" w:rsidRPr="00112ED8" w:rsidRDefault="00087166" w:rsidP="00087166">
            <w:pPr>
              <w:rPr>
                <w:b/>
              </w:rPr>
            </w:pPr>
            <w:r>
              <w:rPr>
                <w:b/>
              </w:rPr>
              <w:t>Project title</w:t>
            </w:r>
          </w:p>
        </w:tc>
        <w:tc>
          <w:tcPr>
            <w:tcW w:w="3866" w:type="pct"/>
            <w:gridSpan w:val="4"/>
          </w:tcPr>
          <w:p w14:paraId="7C57B66A" w14:textId="77777777" w:rsidR="00087166" w:rsidRPr="00A30E11" w:rsidRDefault="00034D57" w:rsidP="00087166">
            <w:r>
              <w:t>Maximising the benefits from cover crops through species selection and crop management (Maxi-Cover Crop)</w:t>
            </w:r>
          </w:p>
        </w:tc>
      </w:tr>
      <w:tr w:rsidR="00087166" w14:paraId="51D12A01" w14:textId="77777777" w:rsidTr="00AA2A14">
        <w:tc>
          <w:tcPr>
            <w:tcW w:w="1134" w:type="pct"/>
          </w:tcPr>
          <w:p w14:paraId="67D335DE" w14:textId="77777777" w:rsidR="00087166" w:rsidRPr="00112ED8" w:rsidRDefault="00087166" w:rsidP="00087166">
            <w:pPr>
              <w:rPr>
                <w:b/>
              </w:rPr>
            </w:pPr>
            <w:r w:rsidRPr="00112ED8">
              <w:rPr>
                <w:b/>
              </w:rPr>
              <w:t>Project number</w:t>
            </w:r>
          </w:p>
        </w:tc>
        <w:tc>
          <w:tcPr>
            <w:tcW w:w="3866" w:type="pct"/>
            <w:gridSpan w:val="4"/>
          </w:tcPr>
          <w:p w14:paraId="2CC66303" w14:textId="77777777" w:rsidR="00087166" w:rsidRPr="00A30E11" w:rsidRDefault="00034D57" w:rsidP="00087166">
            <w:r>
              <w:t>21140009</w:t>
            </w:r>
          </w:p>
        </w:tc>
      </w:tr>
      <w:tr w:rsidR="00EF798F" w14:paraId="098832B7" w14:textId="77777777" w:rsidTr="00AA2A14">
        <w:tc>
          <w:tcPr>
            <w:tcW w:w="1134" w:type="pct"/>
            <w:tcBorders>
              <w:bottom w:val="single" w:sz="4" w:space="0" w:color="000000" w:themeColor="text1"/>
            </w:tcBorders>
          </w:tcPr>
          <w:p w14:paraId="60453FE1" w14:textId="77777777" w:rsidR="00EF798F" w:rsidRPr="00112ED8" w:rsidRDefault="00EF798F" w:rsidP="00AA2A14">
            <w:pPr>
              <w:rPr>
                <w:b/>
              </w:rPr>
            </w:pPr>
            <w:r w:rsidRPr="00112ED8">
              <w:rPr>
                <w:b/>
              </w:rPr>
              <w:t>Start date</w:t>
            </w:r>
          </w:p>
        </w:tc>
        <w:tc>
          <w:tcPr>
            <w:tcW w:w="2085" w:type="pct"/>
            <w:gridSpan w:val="2"/>
            <w:tcBorders>
              <w:bottom w:val="single" w:sz="4" w:space="0" w:color="000000" w:themeColor="text1"/>
            </w:tcBorders>
          </w:tcPr>
          <w:p w14:paraId="5BB07A92" w14:textId="77777777" w:rsidR="00EF798F" w:rsidRDefault="00034D57" w:rsidP="00AA2A14">
            <w:r>
              <w:t>01/08/2016</w:t>
            </w:r>
          </w:p>
        </w:tc>
        <w:tc>
          <w:tcPr>
            <w:tcW w:w="720" w:type="pct"/>
            <w:tcBorders>
              <w:bottom w:val="single" w:sz="4" w:space="0" w:color="000000" w:themeColor="text1"/>
            </w:tcBorders>
          </w:tcPr>
          <w:p w14:paraId="1C5B1918" w14:textId="77777777" w:rsidR="00EF798F" w:rsidRPr="00112ED8" w:rsidRDefault="00EF798F" w:rsidP="00AA2A14">
            <w:pPr>
              <w:rPr>
                <w:b/>
              </w:rPr>
            </w:pPr>
            <w:r>
              <w:rPr>
                <w:b/>
              </w:rPr>
              <w:t>End date</w:t>
            </w:r>
          </w:p>
        </w:tc>
        <w:tc>
          <w:tcPr>
            <w:tcW w:w="1061" w:type="pct"/>
            <w:tcBorders>
              <w:bottom w:val="single" w:sz="4" w:space="0" w:color="000000" w:themeColor="text1"/>
            </w:tcBorders>
          </w:tcPr>
          <w:p w14:paraId="6DDE7054" w14:textId="77777777" w:rsidR="00EF798F" w:rsidRDefault="00034D57" w:rsidP="00AA2A14">
            <w:r>
              <w:t>01/11/2019</w:t>
            </w:r>
          </w:p>
        </w:tc>
      </w:tr>
      <w:tr w:rsidR="00EF798F" w:rsidRPr="00FF3088" w14:paraId="45E17A89" w14:textId="77777777" w:rsidTr="00AA2A14">
        <w:tc>
          <w:tcPr>
            <w:tcW w:w="5000" w:type="pct"/>
            <w:gridSpan w:val="5"/>
            <w:tcBorders>
              <w:left w:val="nil"/>
              <w:right w:val="nil"/>
            </w:tcBorders>
          </w:tcPr>
          <w:p w14:paraId="490E550C" w14:textId="77777777" w:rsidR="00EF798F" w:rsidRPr="00FF3088" w:rsidRDefault="00EF798F" w:rsidP="00AA2A14">
            <w:pPr>
              <w:rPr>
                <w:sz w:val="16"/>
              </w:rPr>
            </w:pPr>
          </w:p>
        </w:tc>
      </w:tr>
      <w:tr w:rsidR="00087166" w14:paraId="46497365" w14:textId="77777777" w:rsidTr="00AA2A14">
        <w:tc>
          <w:tcPr>
            <w:tcW w:w="5000" w:type="pct"/>
            <w:gridSpan w:val="5"/>
          </w:tcPr>
          <w:p w14:paraId="7626B70D" w14:textId="77777777" w:rsidR="00087166" w:rsidRPr="00A30E11" w:rsidRDefault="00087166" w:rsidP="00087166">
            <w:r w:rsidRPr="00A30E11">
              <w:rPr>
                <w:b/>
              </w:rPr>
              <w:t>Project aim and objectives</w:t>
            </w:r>
          </w:p>
        </w:tc>
      </w:tr>
      <w:tr w:rsidR="00087166" w14:paraId="528B06F9" w14:textId="77777777" w:rsidTr="00AA2A14">
        <w:tc>
          <w:tcPr>
            <w:tcW w:w="5000" w:type="pct"/>
            <w:gridSpan w:val="5"/>
            <w:tcBorders>
              <w:bottom w:val="single" w:sz="4" w:space="0" w:color="000000" w:themeColor="text1"/>
            </w:tcBorders>
          </w:tcPr>
          <w:p w14:paraId="0ADCC555" w14:textId="77777777" w:rsidR="00087166" w:rsidRPr="00A30E11" w:rsidRDefault="00034D57" w:rsidP="00034D57">
            <w:r>
              <w:rPr>
                <w:rFonts w:cs="Arial"/>
                <w:shd w:val="clear" w:color="auto" w:fill="FFFFFF"/>
              </w:rPr>
              <w:t>T</w:t>
            </w:r>
            <w:r w:rsidRPr="003634AC">
              <w:rPr>
                <w:rFonts w:cs="Arial"/>
                <w:shd w:val="clear" w:color="auto" w:fill="FFFFFF"/>
              </w:rPr>
              <w:t xml:space="preserve">his project aims to maximise the potential economic, agronomic and ecological benefits from cover crops through a better understanding of species effects and crop management technologies. </w:t>
            </w:r>
            <w:r>
              <w:rPr>
                <w:rFonts w:cs="Arial"/>
                <w:shd w:val="clear" w:color="auto" w:fill="FFFFFF"/>
              </w:rPr>
              <w:t>Specifically to:</w:t>
            </w:r>
            <w:r w:rsidRPr="003634AC">
              <w:rPr>
                <w:rFonts w:cs="Arial"/>
                <w:shd w:val="clear" w:color="auto" w:fill="FFFFFF"/>
              </w:rPr>
              <w:t> </w:t>
            </w:r>
            <w:r w:rsidRPr="003634AC">
              <w:rPr>
                <w:rFonts w:cs="Arial"/>
              </w:rPr>
              <w:br/>
            </w:r>
            <w:r w:rsidRPr="003634AC">
              <w:rPr>
                <w:rFonts w:cs="Arial"/>
                <w:shd w:val="clear" w:color="auto" w:fill="FFFFFF"/>
              </w:rPr>
              <w:t>1) Quantify the effects of different cover crops on soil prop</w:t>
            </w:r>
            <w:r>
              <w:rPr>
                <w:rFonts w:cs="Arial"/>
                <w:shd w:val="clear" w:color="auto" w:fill="FFFFFF"/>
              </w:rPr>
              <w:t xml:space="preserve">erties, crop rooting and yield; </w:t>
            </w:r>
            <w:r w:rsidRPr="003634AC">
              <w:rPr>
                <w:rFonts w:cs="Arial"/>
                <w:shd w:val="clear" w:color="auto" w:fill="FFFFFF"/>
              </w:rPr>
              <w:t>2) Validate the effects of different cover crop mixtures and new cultivation/destruction technologies on Monitor Farms</w:t>
            </w:r>
            <w:r>
              <w:rPr>
                <w:rFonts w:cs="Arial"/>
                <w:shd w:val="clear" w:color="auto" w:fill="FFFFFF"/>
              </w:rPr>
              <w:t>;</w:t>
            </w:r>
            <w:r w:rsidRPr="003634AC">
              <w:rPr>
                <w:rFonts w:cs="Arial"/>
              </w:rPr>
              <w:br/>
            </w:r>
            <w:r w:rsidRPr="003634AC">
              <w:rPr>
                <w:rFonts w:cs="Arial"/>
                <w:shd w:val="clear" w:color="auto" w:fill="FFFFFF"/>
              </w:rPr>
              <w:t>3) Update cover crops guidance</w:t>
            </w:r>
            <w:r>
              <w:rPr>
                <w:rFonts w:cs="Arial"/>
                <w:shd w:val="clear" w:color="auto" w:fill="FFFFFF"/>
              </w:rPr>
              <w:t xml:space="preserve">; </w:t>
            </w:r>
            <w:r w:rsidRPr="003634AC">
              <w:rPr>
                <w:rFonts w:cs="Arial"/>
                <w:shd w:val="clear" w:color="auto" w:fill="FFFFFF"/>
              </w:rPr>
              <w:t>4) Transfer knowledge of the project findings to growers, industry and academia.</w:t>
            </w:r>
          </w:p>
        </w:tc>
      </w:tr>
      <w:tr w:rsidR="00087166" w:rsidRPr="00FF3088" w14:paraId="5D7ED21F" w14:textId="77777777" w:rsidTr="00AA2A14">
        <w:tc>
          <w:tcPr>
            <w:tcW w:w="5000" w:type="pct"/>
            <w:gridSpan w:val="5"/>
            <w:tcBorders>
              <w:left w:val="nil"/>
              <w:right w:val="nil"/>
            </w:tcBorders>
          </w:tcPr>
          <w:p w14:paraId="3A976808" w14:textId="77777777" w:rsidR="00087166" w:rsidRPr="00FF3088" w:rsidRDefault="00087166" w:rsidP="00087166">
            <w:pPr>
              <w:rPr>
                <w:sz w:val="16"/>
              </w:rPr>
            </w:pPr>
          </w:p>
        </w:tc>
      </w:tr>
      <w:tr w:rsidR="00087166" w14:paraId="435B1FAA" w14:textId="77777777" w:rsidTr="00AA2A14">
        <w:tc>
          <w:tcPr>
            <w:tcW w:w="5000" w:type="pct"/>
            <w:gridSpan w:val="5"/>
          </w:tcPr>
          <w:p w14:paraId="654FD995" w14:textId="77777777" w:rsidR="00087166" w:rsidRPr="00A30E11" w:rsidRDefault="00087166" w:rsidP="00087166">
            <w:r w:rsidRPr="00A30E11">
              <w:rPr>
                <w:b/>
              </w:rPr>
              <w:t>Key messages emerging from the project</w:t>
            </w:r>
          </w:p>
        </w:tc>
      </w:tr>
      <w:tr w:rsidR="00087166" w14:paraId="4175B991" w14:textId="77777777" w:rsidTr="00AA2A14">
        <w:tc>
          <w:tcPr>
            <w:tcW w:w="5000" w:type="pct"/>
            <w:gridSpan w:val="5"/>
            <w:tcBorders>
              <w:bottom w:val="single" w:sz="4" w:space="0" w:color="000000" w:themeColor="text1"/>
            </w:tcBorders>
          </w:tcPr>
          <w:p w14:paraId="19DAA43D" w14:textId="77777777" w:rsidR="00034D57" w:rsidRDefault="00034D57" w:rsidP="00034D57">
            <w:r>
              <w:t xml:space="preserve">Early establishment of cover crops is essential to ensure good cover and maximum benefits. </w:t>
            </w:r>
          </w:p>
          <w:p w14:paraId="73DB65B7" w14:textId="39EB02E3" w:rsidR="00087166" w:rsidRDefault="00034D57" w:rsidP="00034D57">
            <w:r>
              <w:t>Increased rooting in the cover crop may result in increased rooting in the following spring crop</w:t>
            </w:r>
            <w:r w:rsidR="00D21DD9">
              <w:t xml:space="preserve"> </w:t>
            </w:r>
            <w:r w:rsidR="00980DC6">
              <w:t>in situations where</w:t>
            </w:r>
            <w:r w:rsidR="00D21DD9">
              <w:t xml:space="preserve"> </w:t>
            </w:r>
            <w:r w:rsidR="00980DC6">
              <w:t>the spring crop</w:t>
            </w:r>
            <w:bookmarkStart w:id="0" w:name="_GoBack"/>
            <w:bookmarkEnd w:id="0"/>
            <w:r w:rsidR="00D21DD9">
              <w:t xml:space="preserve"> established well. T</w:t>
            </w:r>
            <w:r>
              <w:t xml:space="preserve">his will </w:t>
            </w:r>
            <w:r w:rsidR="00880C2E">
              <w:t xml:space="preserve">need to </w:t>
            </w:r>
            <w:r>
              <w:t>be confirmed by on-going work</w:t>
            </w:r>
          </w:p>
          <w:p w14:paraId="42DA081B" w14:textId="77777777" w:rsidR="00034D57" w:rsidRPr="00A30E11" w:rsidRDefault="00034D57" w:rsidP="00034D57">
            <w:r>
              <w:t>Cover cropping can result in increased moisture retention in the topsoil, which may impede establishment of the following spring crop</w:t>
            </w:r>
          </w:p>
        </w:tc>
      </w:tr>
      <w:tr w:rsidR="00087166" w:rsidRPr="00FF3088" w14:paraId="6F49B782" w14:textId="77777777" w:rsidTr="00AA2A14">
        <w:tc>
          <w:tcPr>
            <w:tcW w:w="5000" w:type="pct"/>
            <w:gridSpan w:val="5"/>
            <w:tcBorders>
              <w:left w:val="nil"/>
              <w:right w:val="nil"/>
            </w:tcBorders>
          </w:tcPr>
          <w:p w14:paraId="5C5CCDA2" w14:textId="77777777" w:rsidR="00087166" w:rsidRPr="00FF3088" w:rsidRDefault="00087166" w:rsidP="00087166">
            <w:pPr>
              <w:rPr>
                <w:sz w:val="16"/>
              </w:rPr>
            </w:pPr>
          </w:p>
        </w:tc>
      </w:tr>
      <w:tr w:rsidR="00087166" w14:paraId="1E9D8655" w14:textId="77777777" w:rsidTr="00AA2A14">
        <w:tc>
          <w:tcPr>
            <w:tcW w:w="5000" w:type="pct"/>
            <w:gridSpan w:val="5"/>
          </w:tcPr>
          <w:p w14:paraId="7A11F97F" w14:textId="77777777" w:rsidR="00087166" w:rsidRPr="00A30E11" w:rsidRDefault="00087166" w:rsidP="00087166">
            <w:r w:rsidRPr="00A30E11">
              <w:rPr>
                <w:b/>
              </w:rPr>
              <w:t>Summary of results from the reporting year</w:t>
            </w:r>
          </w:p>
        </w:tc>
      </w:tr>
      <w:tr w:rsidR="00087166" w14:paraId="1966E836" w14:textId="77777777" w:rsidTr="00AA2A14">
        <w:tc>
          <w:tcPr>
            <w:tcW w:w="5000" w:type="pct"/>
            <w:gridSpan w:val="5"/>
          </w:tcPr>
          <w:p w14:paraId="1C3734D6" w14:textId="06E74EA8" w:rsidR="00034D57" w:rsidRDefault="00034D57" w:rsidP="00034D57">
            <w:r>
              <w:t>At the large plot trial in Cambridgeshire (established in autumn 2016), there was some evidence that increased rooting in the cover crop resulted in increased rooting in the following spring barley crop, with Phacelia and mixes containing Phacelia giving rise to the greatest root length density. However, this did not lead to differences in spring barley yields (August 2017). Winter barley was subsequently established in autumn 2017, and the potential legacy effect of the different cover crop treatments on soil properties measured in spring 2018</w:t>
            </w:r>
            <w:r w:rsidR="001D4F07">
              <w:t xml:space="preserve">. Topsoil organic matter (SOM) contents ranged from 1.5% following a Buckwheat cover crop (destroyed </w:t>
            </w:r>
            <w:r w:rsidR="001D4F07" w:rsidRPr="001D4F07">
              <w:rPr>
                <w:i/>
              </w:rPr>
              <w:t>c</w:t>
            </w:r>
            <w:r w:rsidR="001D4F07">
              <w:t>.12 months previously) to 1.9% following Phacelia, with the control (stubble/volunteers) at 1.7% (</w:t>
            </w:r>
            <w:r w:rsidR="001D4F07" w:rsidRPr="001D4F07">
              <w:rPr>
                <w:i/>
              </w:rPr>
              <w:t>P</w:t>
            </w:r>
            <w:r w:rsidR="001D4F07">
              <w:t>=0.05). Differences in SOM were related to the amount of above and below ground biomass produced by the cover crops (r</w:t>
            </w:r>
            <w:r w:rsidR="001D4F07" w:rsidRPr="001D4F07">
              <w:rPr>
                <w:vertAlign w:val="superscript"/>
              </w:rPr>
              <w:t>2</w:t>
            </w:r>
            <w:r w:rsidR="001D4F07">
              <w:t>= 50 &amp; 55%, respectively).</w:t>
            </w:r>
          </w:p>
          <w:p w14:paraId="0CF2B3F0" w14:textId="77777777" w:rsidR="00034D57" w:rsidRDefault="00034D57" w:rsidP="00034D57">
            <w:r>
              <w:t xml:space="preserve">A further two large plot trials were established in Nottinghamshire and Yorkshire in August 2017, </w:t>
            </w:r>
            <w:r w:rsidRPr="00034D57">
              <w:rPr>
                <w:i/>
              </w:rPr>
              <w:t>c</w:t>
            </w:r>
            <w:r>
              <w:t xml:space="preserve">.1 month earlier than at the Cambridgeshire site the previous season. Early drilling improved establishment and led to a good cover of all species, such that by February 2018, the cover crops had produced </w:t>
            </w:r>
            <w:r w:rsidRPr="00034D57">
              <w:rPr>
                <w:i/>
              </w:rPr>
              <w:t>c</w:t>
            </w:r>
            <w:r>
              <w:t xml:space="preserve">. 2–3 t/ha dry matter and taken up over 70 kg/ha nitrogen (compared to </w:t>
            </w:r>
            <w:r w:rsidRPr="00034D57">
              <w:rPr>
                <w:i/>
              </w:rPr>
              <w:t>c</w:t>
            </w:r>
            <w:r>
              <w:t xml:space="preserve">. 1 t/ha biomass and &lt; 10kg/ha N uptake at the Cambridgeshire site the previous year). </w:t>
            </w:r>
            <w:r w:rsidR="007737D8">
              <w:t xml:space="preserve">The control plots at both sites </w:t>
            </w:r>
            <w:r w:rsidR="007737D8">
              <w:lastRenderedPageBreak/>
              <w:t xml:space="preserve">also had a considerable cover of cereal and oilseed rape volunteers (1-2 t/ha dry matter). </w:t>
            </w:r>
            <w:r>
              <w:t xml:space="preserve">However, there was no significant difference in soil penetration resistance, bulk density or moisture content following the different cover crops </w:t>
            </w:r>
            <w:r w:rsidR="007737D8">
              <w:t xml:space="preserve">or compared to the control </w:t>
            </w:r>
            <w:r>
              <w:t>in spring 2018.</w:t>
            </w:r>
          </w:p>
          <w:p w14:paraId="55EDA885" w14:textId="77777777" w:rsidR="00087166" w:rsidRPr="00A30E11" w:rsidRDefault="00034D57" w:rsidP="007737D8">
            <w:r>
              <w:t>Validation trials on four Monitor</w:t>
            </w:r>
            <w:r w:rsidR="007737D8">
              <w:t xml:space="preserve"> farms have been established (</w:t>
            </w:r>
            <w:r>
              <w:t>Kent &amp; Yorkshire in autumn 2016 and two Cambridgeshire farms in autumn 2017), comparing two of the mixes from the large plot trials with an uncovered control. At the Kent site, spring barley yields were 0.1-0.4 t/ha higher in August 2017 following cover cropping over winter 2016-17, although th</w:t>
            </w:r>
            <w:r w:rsidR="007737D8">
              <w:t>is was</w:t>
            </w:r>
            <w:r>
              <w:t xml:space="preserve"> not statistically significant. At the Yorkshire site, spring bean yields were reduced by 0.4 t/ha (</w:t>
            </w:r>
            <w:r w:rsidRPr="00034D57">
              <w:rPr>
                <w:i/>
              </w:rPr>
              <w:t>P</w:t>
            </w:r>
            <w:r>
              <w:t>&lt;0.05) following a cover crop of oats and clover and by 0.2 t/ha (</w:t>
            </w:r>
            <w:r w:rsidR="007737D8">
              <w:t>not statistically significant</w:t>
            </w:r>
            <w:r>
              <w:t>) following a cover crop of oilseed radish, phacelia and buckwheat</w:t>
            </w:r>
            <w:r w:rsidR="007737D8">
              <w:t>. This was most likely d</w:t>
            </w:r>
            <w:r>
              <w:t xml:space="preserve">ue to greater moisture retention in the topsoil </w:t>
            </w:r>
            <w:r w:rsidR="007737D8">
              <w:t xml:space="preserve">(0-30cm depth; </w:t>
            </w:r>
            <w:r w:rsidR="007737D8" w:rsidRPr="007737D8">
              <w:rPr>
                <w:i/>
              </w:rPr>
              <w:t>P</w:t>
            </w:r>
            <w:r w:rsidR="007737D8">
              <w:t xml:space="preserve">=0.08) </w:t>
            </w:r>
            <w:r>
              <w:t xml:space="preserve">following the cover crops </w:t>
            </w:r>
            <w:r w:rsidR="007737D8">
              <w:t xml:space="preserve">which </w:t>
            </w:r>
            <w:r>
              <w:t>result</w:t>
            </w:r>
            <w:r w:rsidR="007737D8">
              <w:t>ed</w:t>
            </w:r>
            <w:r>
              <w:t xml:space="preserve"> in poor establishment of the spring bean crop. </w:t>
            </w:r>
            <w:r w:rsidR="007737D8">
              <w:t>Indeed, spring bean root length in May 2017 was significantly lower (</w:t>
            </w:r>
            <w:r w:rsidR="007737D8" w:rsidRPr="007737D8">
              <w:rPr>
                <w:i/>
              </w:rPr>
              <w:t>P</w:t>
            </w:r>
            <w:r w:rsidR="007737D8">
              <w:t xml:space="preserve">&lt;0.001) where cover crops had been grown. Four </w:t>
            </w:r>
            <w:r>
              <w:t xml:space="preserve">tramline trials </w:t>
            </w:r>
            <w:r w:rsidR="007737D8">
              <w:t xml:space="preserve">have also been established </w:t>
            </w:r>
            <w:r>
              <w:t xml:space="preserve">comparing cover </w:t>
            </w:r>
            <w:r w:rsidR="007737D8">
              <w:t xml:space="preserve">crop </w:t>
            </w:r>
            <w:r>
              <w:t xml:space="preserve">establishment techniques (direct drilling, cultivator </w:t>
            </w:r>
            <w:r w:rsidR="007737D8">
              <w:t xml:space="preserve">drill </w:t>
            </w:r>
            <w:r>
              <w:t>or strip tillage)</w:t>
            </w:r>
            <w:r w:rsidR="007737D8">
              <w:t>. In 2017</w:t>
            </w:r>
            <w:r>
              <w:t xml:space="preserve">, there was no effect of the different </w:t>
            </w:r>
            <w:r w:rsidR="007737D8">
              <w:t xml:space="preserve">establishment techniques </w:t>
            </w:r>
            <w:r>
              <w:t xml:space="preserve">on yields of the following spring bean or barley crops. </w:t>
            </w:r>
          </w:p>
        </w:tc>
      </w:tr>
      <w:tr w:rsidR="00087166" w:rsidRPr="00FF3088" w14:paraId="0B5E4B30" w14:textId="77777777" w:rsidTr="00AA2A14">
        <w:tc>
          <w:tcPr>
            <w:tcW w:w="5000" w:type="pct"/>
            <w:gridSpan w:val="5"/>
            <w:tcBorders>
              <w:left w:val="nil"/>
              <w:right w:val="nil"/>
            </w:tcBorders>
          </w:tcPr>
          <w:p w14:paraId="1BE716B1" w14:textId="77777777" w:rsidR="00087166" w:rsidRPr="00FF3088" w:rsidRDefault="00087166" w:rsidP="00087166">
            <w:pPr>
              <w:rPr>
                <w:sz w:val="16"/>
              </w:rPr>
            </w:pPr>
          </w:p>
        </w:tc>
      </w:tr>
      <w:tr w:rsidR="00087166" w14:paraId="63B264CD" w14:textId="77777777" w:rsidTr="00AA2A14">
        <w:tc>
          <w:tcPr>
            <w:tcW w:w="5000" w:type="pct"/>
            <w:gridSpan w:val="5"/>
          </w:tcPr>
          <w:p w14:paraId="3B771D78" w14:textId="77777777" w:rsidR="00087166" w:rsidRPr="00A30E11" w:rsidRDefault="00087166" w:rsidP="00087166">
            <w:r w:rsidRPr="00A30E11">
              <w:rPr>
                <w:b/>
              </w:rPr>
              <w:t>Key issues to be addressed in the next year</w:t>
            </w:r>
          </w:p>
        </w:tc>
      </w:tr>
      <w:tr w:rsidR="00087166" w14:paraId="0F3D1CD1" w14:textId="77777777" w:rsidTr="00AA2A14">
        <w:tc>
          <w:tcPr>
            <w:tcW w:w="5000" w:type="pct"/>
            <w:gridSpan w:val="5"/>
          </w:tcPr>
          <w:p w14:paraId="4DD1EF01" w14:textId="77777777" w:rsidR="00034D57" w:rsidRDefault="00034D57" w:rsidP="00034D57">
            <w:pPr>
              <w:pStyle w:val="ListParagraph"/>
              <w:numPr>
                <w:ilvl w:val="0"/>
                <w:numId w:val="4"/>
              </w:numPr>
              <w:ind w:left="313" w:hanging="284"/>
            </w:pPr>
            <w:r>
              <w:t>Follow the effect of the cover crop treatments at the large plot and tramline trials established in autumn 2017 on the yield of the current spring crop (harvest 2018) and following winter crop.</w:t>
            </w:r>
          </w:p>
          <w:p w14:paraId="09CACDBC" w14:textId="21BB3116" w:rsidR="00034D57" w:rsidRDefault="00034D57" w:rsidP="00034D57">
            <w:pPr>
              <w:pStyle w:val="ListParagraph"/>
              <w:numPr>
                <w:ilvl w:val="0"/>
                <w:numId w:val="4"/>
              </w:numPr>
              <w:ind w:left="313" w:hanging="284"/>
            </w:pPr>
            <w:r>
              <w:t>Assess soil physical (structure), biological (earthworms) and chemical (organic matter) properties at these sites in spring 201</w:t>
            </w:r>
            <w:r w:rsidR="001D4F07">
              <w:t>9</w:t>
            </w:r>
          </w:p>
          <w:p w14:paraId="44436D01" w14:textId="77777777" w:rsidR="00034D57" w:rsidRDefault="00034D57" w:rsidP="00034D57">
            <w:pPr>
              <w:pStyle w:val="ListParagraph"/>
              <w:numPr>
                <w:ilvl w:val="0"/>
                <w:numId w:val="4"/>
              </w:numPr>
              <w:ind w:left="313" w:hanging="284"/>
            </w:pPr>
            <w:r>
              <w:t xml:space="preserve">Evaluate the legacy effects of the cover crop treatments at the Cambridgeshire large plot trial  and 2016 tramline trials on soil properties and the yield of the winter crop </w:t>
            </w:r>
          </w:p>
          <w:p w14:paraId="69B992AE" w14:textId="77777777" w:rsidR="00087166" w:rsidRPr="00A30E11" w:rsidRDefault="00034D57" w:rsidP="00034D57">
            <w:pPr>
              <w:pStyle w:val="ListParagraph"/>
              <w:numPr>
                <w:ilvl w:val="0"/>
                <w:numId w:val="4"/>
              </w:numPr>
              <w:ind w:left="313" w:hanging="284"/>
            </w:pPr>
            <w:r>
              <w:t>Complete a cost-benefit analysis for all of the trial sites.</w:t>
            </w:r>
          </w:p>
        </w:tc>
      </w:tr>
      <w:tr w:rsidR="00087166" w:rsidRPr="00FF3088" w14:paraId="7D6A97F9" w14:textId="77777777" w:rsidTr="00AA2A14">
        <w:tc>
          <w:tcPr>
            <w:tcW w:w="5000" w:type="pct"/>
            <w:gridSpan w:val="5"/>
            <w:tcBorders>
              <w:left w:val="nil"/>
              <w:right w:val="nil"/>
            </w:tcBorders>
          </w:tcPr>
          <w:p w14:paraId="36873E37" w14:textId="77777777" w:rsidR="00087166" w:rsidRPr="00FF3088" w:rsidRDefault="00087166" w:rsidP="00AA2A14">
            <w:pPr>
              <w:rPr>
                <w:sz w:val="16"/>
              </w:rPr>
            </w:pPr>
          </w:p>
        </w:tc>
      </w:tr>
      <w:tr w:rsidR="00034D57" w14:paraId="7F63F0F5" w14:textId="77777777" w:rsidTr="00087166">
        <w:tc>
          <w:tcPr>
            <w:tcW w:w="1249" w:type="pct"/>
            <w:gridSpan w:val="2"/>
          </w:tcPr>
          <w:p w14:paraId="7D551D0B" w14:textId="77777777" w:rsidR="00034D57" w:rsidRPr="009D765F" w:rsidRDefault="00034D57" w:rsidP="00034D57">
            <w:pPr>
              <w:rPr>
                <w:b/>
              </w:rPr>
            </w:pPr>
            <w:r w:rsidRPr="009D765F">
              <w:rPr>
                <w:b/>
              </w:rPr>
              <w:t>Lead partner</w:t>
            </w:r>
          </w:p>
        </w:tc>
        <w:tc>
          <w:tcPr>
            <w:tcW w:w="3751" w:type="pct"/>
            <w:gridSpan w:val="3"/>
          </w:tcPr>
          <w:p w14:paraId="45483D49" w14:textId="77777777" w:rsidR="00034D57" w:rsidRPr="00A30E11" w:rsidRDefault="00034D57" w:rsidP="00034D57">
            <w:r>
              <w:t>Anne Bhogal/Charlotte White, ADAS</w:t>
            </w:r>
          </w:p>
        </w:tc>
      </w:tr>
      <w:tr w:rsidR="00034D57" w14:paraId="649095A6" w14:textId="77777777" w:rsidTr="00087166">
        <w:tc>
          <w:tcPr>
            <w:tcW w:w="1249" w:type="pct"/>
            <w:gridSpan w:val="2"/>
          </w:tcPr>
          <w:p w14:paraId="381FE63C" w14:textId="77777777" w:rsidR="00034D57" w:rsidRPr="00112ED8" w:rsidRDefault="00034D57" w:rsidP="00034D57">
            <w:pPr>
              <w:rPr>
                <w:b/>
              </w:rPr>
            </w:pPr>
            <w:r>
              <w:rPr>
                <w:b/>
              </w:rPr>
              <w:t>Scientific partners</w:t>
            </w:r>
          </w:p>
        </w:tc>
        <w:tc>
          <w:tcPr>
            <w:tcW w:w="3751" w:type="pct"/>
            <w:gridSpan w:val="3"/>
          </w:tcPr>
          <w:p w14:paraId="3AD04FC2" w14:textId="77777777" w:rsidR="00034D57" w:rsidRPr="00A30E11" w:rsidRDefault="00034D57" w:rsidP="00034D57">
            <w:r>
              <w:t>Nathan Morris, NIAB</w:t>
            </w:r>
          </w:p>
        </w:tc>
      </w:tr>
      <w:tr w:rsidR="00034D57" w14:paraId="3BC63607" w14:textId="77777777" w:rsidTr="00087166">
        <w:tc>
          <w:tcPr>
            <w:tcW w:w="1249" w:type="pct"/>
            <w:gridSpan w:val="2"/>
          </w:tcPr>
          <w:p w14:paraId="19C9E8C9" w14:textId="77777777" w:rsidR="00034D57" w:rsidRPr="00112ED8" w:rsidRDefault="00034D57" w:rsidP="00034D57">
            <w:pPr>
              <w:rPr>
                <w:b/>
              </w:rPr>
            </w:pPr>
            <w:r>
              <w:rPr>
                <w:b/>
              </w:rPr>
              <w:t>Industry partners</w:t>
            </w:r>
          </w:p>
        </w:tc>
        <w:tc>
          <w:tcPr>
            <w:tcW w:w="3751" w:type="pct"/>
            <w:gridSpan w:val="3"/>
          </w:tcPr>
          <w:p w14:paraId="71F41493" w14:textId="77777777" w:rsidR="00034D57" w:rsidRPr="00A30E11" w:rsidRDefault="00034D57" w:rsidP="00034D57">
            <w:proofErr w:type="spellStart"/>
            <w:r>
              <w:t>Hutchinsons</w:t>
            </w:r>
            <w:proofErr w:type="spellEnd"/>
            <w:r>
              <w:t xml:space="preserve">, RAGT Seeds Ltd, AMAZONE Ltd, Cousins of </w:t>
            </w:r>
            <w:proofErr w:type="spellStart"/>
            <w:r>
              <w:t>Emneth</w:t>
            </w:r>
            <w:proofErr w:type="spellEnd"/>
            <w:r>
              <w:t xml:space="preserve"> Ltd.</w:t>
            </w:r>
          </w:p>
        </w:tc>
      </w:tr>
    </w:tbl>
    <w:p w14:paraId="0CDD6B2D" w14:textId="77777777" w:rsidR="00EF798F" w:rsidRPr="001D4F07" w:rsidRDefault="00EF798F" w:rsidP="007B3925">
      <w:pPr>
        <w:rPr>
          <w:sz w:val="16"/>
          <w:szCs w:val="16"/>
        </w:rPr>
      </w:pPr>
    </w:p>
    <w:tbl>
      <w:tblPr>
        <w:tblStyle w:val="TableGrid"/>
        <w:tblW w:w="10201" w:type="dxa"/>
        <w:tblLayout w:type="fixed"/>
        <w:tblLook w:val="04A0" w:firstRow="1" w:lastRow="0" w:firstColumn="1" w:lastColumn="0" w:noHBand="0" w:noVBand="1"/>
      </w:tblPr>
      <w:tblGrid>
        <w:gridCol w:w="5382"/>
        <w:gridCol w:w="4819"/>
      </w:tblGrid>
      <w:tr w:rsidR="00087166" w:rsidRPr="00A30E11" w14:paraId="3C3370CE" w14:textId="77777777" w:rsidTr="007737D8">
        <w:tc>
          <w:tcPr>
            <w:tcW w:w="10201" w:type="dxa"/>
            <w:gridSpan w:val="2"/>
          </w:tcPr>
          <w:p w14:paraId="256559D1" w14:textId="77777777" w:rsidR="00087166" w:rsidRPr="00A30E11" w:rsidRDefault="00087166" w:rsidP="00AA2A14">
            <w:pPr>
              <w:rPr>
                <w:b/>
              </w:rPr>
            </w:pPr>
            <w:r w:rsidRPr="00A30E11">
              <w:rPr>
                <w:b/>
              </w:rPr>
              <w:t>Has your project featured in any of the following in the last year?</w:t>
            </w:r>
          </w:p>
        </w:tc>
      </w:tr>
      <w:tr w:rsidR="00087166" w:rsidRPr="00A30E11" w14:paraId="1143731F" w14:textId="77777777" w:rsidTr="00A04CF4">
        <w:trPr>
          <w:trHeight w:val="1996"/>
        </w:trPr>
        <w:tc>
          <w:tcPr>
            <w:tcW w:w="5382" w:type="dxa"/>
          </w:tcPr>
          <w:p w14:paraId="1C7B6C6D" w14:textId="77777777" w:rsidR="00087166" w:rsidRDefault="00087166" w:rsidP="00AA2A14">
            <w:pPr>
              <w:rPr>
                <w:b/>
                <w:i/>
              </w:rPr>
            </w:pPr>
            <w:r w:rsidRPr="00A30E11">
              <w:rPr>
                <w:b/>
                <w:i/>
              </w:rPr>
              <w:t>Events</w:t>
            </w:r>
          </w:p>
          <w:p w14:paraId="45FB400E" w14:textId="77777777" w:rsidR="00034D57" w:rsidRDefault="00034D57" w:rsidP="00AA2A14">
            <w:r>
              <w:t>Crop Tec Show (November 2017)</w:t>
            </w:r>
          </w:p>
          <w:p w14:paraId="52D5243D" w14:textId="77777777" w:rsidR="00034D57" w:rsidRDefault="00034D57" w:rsidP="00AA2A14">
            <w:r>
              <w:t>NIAB Members results day (Jan 2017)</w:t>
            </w:r>
          </w:p>
          <w:p w14:paraId="55DC191E" w14:textId="77777777" w:rsidR="00034D57" w:rsidRDefault="00034D57" w:rsidP="00AA2A14">
            <w:r>
              <w:t>Warrington Monitor Farm meeting (March 2018)</w:t>
            </w:r>
          </w:p>
          <w:p w14:paraId="77BC6F62" w14:textId="77777777" w:rsidR="00034D57" w:rsidRDefault="00034D57" w:rsidP="00AA2A14">
            <w:r>
              <w:t xml:space="preserve">RAGT &amp; </w:t>
            </w:r>
            <w:proofErr w:type="spellStart"/>
            <w:r>
              <w:t>Hutchinsons</w:t>
            </w:r>
            <w:proofErr w:type="spellEnd"/>
            <w:r>
              <w:t xml:space="preserve"> open days (May &amp; June 2018)</w:t>
            </w:r>
          </w:p>
          <w:p w14:paraId="1309FA7D" w14:textId="77777777" w:rsidR="00034D57" w:rsidRPr="00034D57" w:rsidRDefault="00034D57" w:rsidP="00AA2A14">
            <w:r>
              <w:t xml:space="preserve">ADAS/AHDB </w:t>
            </w:r>
            <w:proofErr w:type="spellStart"/>
            <w:r>
              <w:t>Rosemaund</w:t>
            </w:r>
            <w:proofErr w:type="spellEnd"/>
            <w:r>
              <w:t xml:space="preserve"> open day (June 2018)</w:t>
            </w:r>
          </w:p>
        </w:tc>
        <w:tc>
          <w:tcPr>
            <w:tcW w:w="4819" w:type="dxa"/>
          </w:tcPr>
          <w:p w14:paraId="00DB58DE" w14:textId="77777777" w:rsidR="00087166" w:rsidRDefault="00087166" w:rsidP="00AA2A14">
            <w:pPr>
              <w:rPr>
                <w:b/>
                <w:i/>
              </w:rPr>
            </w:pPr>
            <w:r w:rsidRPr="00A30E11">
              <w:rPr>
                <w:b/>
                <w:i/>
              </w:rPr>
              <w:t>Press articles</w:t>
            </w:r>
          </w:p>
          <w:p w14:paraId="79ECECC0" w14:textId="77777777" w:rsidR="00034D57" w:rsidRPr="00034D57" w:rsidRDefault="00034D57" w:rsidP="00AA2A14">
            <w:r>
              <w:t>Arable Farming Research in Action, July 2018: ‘</w:t>
            </w:r>
            <w:r w:rsidRPr="00034D57">
              <w:rPr>
                <w:i/>
              </w:rPr>
              <w:t>Autumn drives cover crop value’</w:t>
            </w:r>
          </w:p>
        </w:tc>
      </w:tr>
    </w:tbl>
    <w:p w14:paraId="63A42488" w14:textId="77777777" w:rsidR="00087166" w:rsidRDefault="00087166" w:rsidP="00A04CF4"/>
    <w:sectPr w:rsidR="00087166" w:rsidSect="001D4F07">
      <w:headerReference w:type="default" r:id="rId7"/>
      <w:footerReference w:type="default" r:id="rId8"/>
      <w:headerReference w:type="first" r:id="rId9"/>
      <w:footerReference w:type="first" r:id="rId10"/>
      <w:pgSz w:w="11906" w:h="16838"/>
      <w:pgMar w:top="3226" w:right="851" w:bottom="1134" w:left="85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0A9FD" w14:textId="77777777" w:rsidR="00355E5E" w:rsidRDefault="00355E5E" w:rsidP="00B95083">
      <w:pPr>
        <w:spacing w:line="240" w:lineRule="auto"/>
      </w:pPr>
      <w:r>
        <w:separator/>
      </w:r>
    </w:p>
  </w:endnote>
  <w:endnote w:type="continuationSeparator" w:id="0">
    <w:p w14:paraId="33EECDC4" w14:textId="77777777" w:rsidR="00355E5E" w:rsidRDefault="00355E5E" w:rsidP="00B95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D277" w14:textId="77777777" w:rsidR="00087166" w:rsidRPr="00B95083" w:rsidRDefault="00087166" w:rsidP="00691867">
    <w:pPr>
      <w:pStyle w:val="Disclaimer"/>
      <w:spacing w:after="0"/>
    </w:pPr>
    <w:r w:rsidRPr="00B95083">
      <w:t xml:space="preserve">The results described in this summary report </w:t>
    </w:r>
    <w:r>
      <w:t>are</w:t>
    </w:r>
    <w:r w:rsidRPr="00B95083">
      <w:t xml:space="preserve"> interim and relate to one year. In all cases, the reports refer to projects that extend over a number of years.</w:t>
    </w:r>
  </w:p>
  <w:p w14:paraId="088BEA63" w14:textId="77777777" w:rsidR="00B95083" w:rsidRDefault="00B95083" w:rsidP="00691867">
    <w:pPr>
      <w:pStyle w:val="Disclaimer"/>
      <w:spacing w:after="0"/>
    </w:pPr>
    <w:r>
      <w:t xml:space="preserve">While the Agriculture and </w:t>
    </w:r>
    <w:r w:rsidR="007479A2">
      <w:t>Horticulture Development Board</w:t>
    </w:r>
    <w:r>
      <w:t xml:space="preserve">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r w:rsidR="002C6F29">
      <w:t xml:space="preserve"> </w:t>
    </w:r>
    <w:r w:rsidRPr="009B5C12">
      <w:t>Reference herein to trade names and proprietary products without stating that they are protected does not imply that they may be regarded as unprotected and thus free for general use. No endorsement of named products is intended</w:t>
    </w:r>
    <w:r>
      <w:t>,</w:t>
    </w:r>
    <w:r w:rsidRPr="009B5C12">
      <w:t xml:space="preserve"> nor is any criticism implied of other alternative, but unnamed, products.</w:t>
    </w:r>
  </w:p>
  <w:p w14:paraId="7AAB928E" w14:textId="77777777" w:rsidR="00A9748A" w:rsidRPr="00A145C0" w:rsidRDefault="00A9748A" w:rsidP="00A9748A">
    <w:pPr>
      <w:pStyle w:val="Disclaimer"/>
    </w:pPr>
    <w:r>
      <w:t xml:space="preserve">AHDB Cereals </w:t>
    </w:r>
    <w:r w:rsidR="00F16E5B">
      <w:t>&amp;</w:t>
    </w:r>
    <w:r>
      <w:t xml:space="preserve"> Oilseeds is a </w:t>
    </w:r>
    <w:r w:rsidR="006F0E56">
      <w:t>part</w:t>
    </w:r>
    <w:r>
      <w:t xml:space="preserve"> of the Agriculture and Horticulture Development Board (AHDB).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1F2E5" w14:textId="77777777" w:rsidR="00EF798F" w:rsidRPr="00A145C0" w:rsidRDefault="00EF798F" w:rsidP="00EF798F">
    <w:pPr>
      <w:pStyle w:val="Disclaimer"/>
      <w:tabs>
        <w:tab w:val="right" w:pos="10204"/>
      </w:tabs>
    </w:pPr>
    <w:r>
      <w:t>AHDB Cereals &amp; Oilseeds is a division of the Agriculture and Horticulture Development Board (AHDB).</w:t>
    </w:r>
    <w:r>
      <w:tab/>
      <w:t>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AE39" w14:textId="77777777" w:rsidR="00355E5E" w:rsidRDefault="00355E5E" w:rsidP="00B95083">
      <w:pPr>
        <w:spacing w:line="240" w:lineRule="auto"/>
      </w:pPr>
      <w:r>
        <w:separator/>
      </w:r>
    </w:p>
  </w:footnote>
  <w:footnote w:type="continuationSeparator" w:id="0">
    <w:p w14:paraId="36AE6131" w14:textId="77777777" w:rsidR="00355E5E" w:rsidRDefault="00355E5E" w:rsidP="00B950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9706F" w14:textId="77777777" w:rsidR="0076354C" w:rsidRDefault="0076354C">
    <w:pPr>
      <w:pStyle w:val="Header"/>
    </w:pPr>
    <w:r w:rsidRPr="0036568F">
      <w:rPr>
        <w:noProof/>
        <w:lang w:eastAsia="en-GB"/>
      </w:rPr>
      <w:drawing>
        <wp:anchor distT="0" distB="0" distL="114300" distR="114300" simplePos="0" relativeHeight="251661312" behindDoc="0" locked="0" layoutInCell="1" allowOverlap="1" wp14:anchorId="4EC7AB04" wp14:editId="331E31E4">
          <wp:simplePos x="0" y="0"/>
          <wp:positionH relativeFrom="page">
            <wp:align>right</wp:align>
          </wp:positionH>
          <wp:positionV relativeFrom="page">
            <wp:align>top</wp:align>
          </wp:positionV>
          <wp:extent cx="2806700" cy="2038350"/>
          <wp:effectExtent l="0" t="0" r="0" b="0"/>
          <wp:wrapNone/>
          <wp:docPr id="1" name="Picture 1" descr="G:\Public\Logos\1. Current logos\All AHDB Divisions and Group logos\All divisions - High resolution JPGs - for print\AHDBCerealsandOilseeds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Logos\1. Current logos\All AHDB Divisions and Group logos\All divisions - High resolution JPGs - for print\AHDBCerealsandOilseeds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7282" cy="20387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4A80B158" wp14:editId="46205B4E">
              <wp:extent cx="3960000" cy="1152525"/>
              <wp:effectExtent l="0" t="0" r="254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1152525"/>
                      </a:xfrm>
                      <a:prstGeom prst="rect">
                        <a:avLst/>
                      </a:prstGeom>
                      <a:solidFill>
                        <a:srgbClr val="FFFFFF"/>
                      </a:solidFill>
                      <a:ln w="9525">
                        <a:noFill/>
                        <a:miter lim="800000"/>
                        <a:headEnd/>
                        <a:tailEnd/>
                      </a:ln>
                    </wps:spPr>
                    <wps:txbx>
                      <w:txbxContent>
                        <w:p w14:paraId="10B6051B" w14:textId="77777777" w:rsidR="0076354C" w:rsidRDefault="00087166" w:rsidP="00176ED3">
                          <w:pPr>
                            <w:pStyle w:val="Title"/>
                            <w:ind w:left="-142"/>
                            <w:jc w:val="left"/>
                          </w:pPr>
                          <w:r>
                            <w:t>Annual Projec</w:t>
                          </w:r>
                          <w:r w:rsidR="003E7EC7">
                            <w:t>t Report</w:t>
                          </w:r>
                          <w:r w:rsidR="003E7EC7">
                            <w:br/>
                          </w:r>
                          <w:r w:rsidR="00034D57">
                            <w:t>August 2017</w:t>
                          </w:r>
                          <w:r w:rsidR="003E7EC7">
                            <w:t xml:space="preserve"> to </w:t>
                          </w:r>
                          <w:r w:rsidR="00034D57">
                            <w:t>July 2018</w:t>
                          </w:r>
                        </w:p>
                      </w:txbxContent>
                    </wps:txbx>
                    <wps:bodyPr rot="0" vert="horz" wrap="square" lIns="91440" tIns="45720" rIns="91440" bIns="45720" anchor="b"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8pt;height:90.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" stroked="f">
              <v:textbox>
                <w:txbxContent>
                  <w:p w:rsidR="0076354C" w:rsidRDefault="00087166" w:rsidP="00176ED3">
                    <w:pPr>
                      <w:pStyle w:val="Title"/>
                      <w:ind w:left="-142"/>
                      <w:jc w:val="left"/>
                    </w:pPr>
                    <w:r>
                      <w:t>Annual Projec</w:t>
                    </w:r>
                    <w:r w:rsidR="003E7EC7">
                      <w:t>t Report</w:t>
                    </w:r>
                    <w:r w:rsidR="003E7EC7">
                      <w:br/>
                    </w:r>
                    <w:r w:rsidR="00034D57">
                      <w:t>August 2017</w:t>
                    </w:r>
                    <w:r w:rsidR="003E7EC7">
                      <w:t xml:space="preserve"> to </w:t>
                    </w:r>
                    <w:r w:rsidR="00034D57">
                      <w:t>July 2018</w:t>
                    </w:r>
                  </w:p>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7C148" w14:textId="77777777" w:rsidR="00EF798F" w:rsidRDefault="00EF798F" w:rsidP="00EF798F">
    <w:pPr>
      <w:pStyle w:val="Header"/>
    </w:pPr>
    <w:r w:rsidRPr="0036568F">
      <w:rPr>
        <w:noProof/>
        <w:lang w:eastAsia="en-GB"/>
      </w:rPr>
      <w:drawing>
        <wp:anchor distT="0" distB="0" distL="114300" distR="114300" simplePos="0" relativeHeight="251663360" behindDoc="0" locked="0" layoutInCell="1" allowOverlap="1" wp14:anchorId="625B8D1C" wp14:editId="6D4159D7">
          <wp:simplePos x="0" y="0"/>
          <wp:positionH relativeFrom="page">
            <wp:posOffset>4739640</wp:posOffset>
          </wp:positionH>
          <wp:positionV relativeFrom="page">
            <wp:posOffset>1905</wp:posOffset>
          </wp:positionV>
          <wp:extent cx="2808000" cy="2048400"/>
          <wp:effectExtent l="0" t="0" r="0" b="9525"/>
          <wp:wrapNone/>
          <wp:docPr id="3" name="Picture 3" descr="G:\Public\Logos\1. Current logos\All AHDB Divisions and Group logos\All divisions - High resolution JPGs - for print\AHDBCerealsandOilseeds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Logos\1. Current logos\All AHDB Divisions and Group logos\All divisions - High resolution JPGs - for print\AHDBCerealsandOilseeds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000" cy="204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7F2071CE" wp14:editId="1ABAF0D6">
              <wp:extent cx="3960000" cy="1152525"/>
              <wp:effectExtent l="0" t="0" r="254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1152525"/>
                      </a:xfrm>
                      <a:prstGeom prst="rect">
                        <a:avLst/>
                      </a:prstGeom>
                      <a:solidFill>
                        <a:srgbClr val="FFFFFF"/>
                      </a:solidFill>
                      <a:ln w="9525">
                        <a:noFill/>
                        <a:miter lim="800000"/>
                        <a:headEnd/>
                        <a:tailEnd/>
                      </a:ln>
                    </wps:spPr>
                    <wps:txbx>
                      <w:txbxContent>
                        <w:p w14:paraId="29D41EAA" w14:textId="77777777" w:rsidR="00EF798F" w:rsidRDefault="00EF798F" w:rsidP="00EF798F">
                          <w:pPr>
                            <w:pStyle w:val="Title"/>
                            <w:ind w:left="-142"/>
                            <w:jc w:val="left"/>
                          </w:pPr>
                          <w:r>
                            <w:t>Reporting requirements</w:t>
                          </w:r>
                          <w:proofErr w:type="gramStart"/>
                          <w:r>
                            <w:t>:</w:t>
                          </w:r>
                          <w:proofErr w:type="gramEnd"/>
                          <w:r>
                            <w:br/>
                            <w:t>Annual Project Reports</w:t>
                          </w:r>
                        </w:p>
                      </w:txbxContent>
                    </wps:txbx>
                    <wps:bodyPr rot="0" vert="horz" wrap="square" lIns="91440" tIns="45720" rIns="91440" bIns="45720" anchor="b" anchorCtr="0">
                      <a:noAutofit/>
                    </wps:bodyPr>
                  </wps:wsp>
                </a:graphicData>
              </a:graphic>
            </wp:inline>
          </w:drawing>
        </mc:Choice>
        <mc:Fallback>
          <w:pict>
            <v:shapetype w14:anchorId="6E0AFE44" id="_x0000_t202" coordsize="21600,21600" o:spt="202" path="m,l,21600r21600,l21600,xe">
              <v:stroke joinstyle="miter"/>
              <v:path gradientshapeok="t" o:connecttype="rect"/>
            </v:shapetype>
            <v:shape id="_x0000_s1027" type="#_x0000_t202" style="width:311.8pt;height:90.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" stroked="f">
              <v:textbox>
                <w:txbxContent>
                  <w:p w:rsidR="00EF798F" w:rsidRDefault="00EF798F" w:rsidP="00EF798F">
                    <w:pPr>
                      <w:pStyle w:val="Title"/>
                      <w:ind w:left="-142"/>
                      <w:jc w:val="left"/>
                    </w:pPr>
                    <w:r>
                      <w:t>Reporting requirements</w:t>
                    </w:r>
                    <w:proofErr w:type="gramStart"/>
                    <w:r>
                      <w:t>:</w:t>
                    </w:r>
                    <w:proofErr w:type="gramEnd"/>
                    <w:r>
                      <w:br/>
                      <w:t>Annual Project Reports</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7C4"/>
    <w:multiLevelType w:val="hybridMultilevel"/>
    <w:tmpl w:val="4D3E9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93BE6"/>
    <w:multiLevelType w:val="singleLevel"/>
    <w:tmpl w:val="D952DB64"/>
    <w:lvl w:ilvl="0">
      <w:start w:val="1"/>
      <w:numFmt w:val="decimal"/>
      <w:lvlText w:val="%1."/>
      <w:lvlJc w:val="left"/>
      <w:pPr>
        <w:tabs>
          <w:tab w:val="num" w:pos="360"/>
        </w:tabs>
        <w:ind w:left="360" w:hanging="360"/>
      </w:pPr>
      <w:rPr>
        <w:rFonts w:ascii="Arial" w:hAnsi="Arial" w:cs="Arial" w:hint="default"/>
        <w:b/>
        <w:i w:val="0"/>
        <w:sz w:val="24"/>
      </w:rPr>
    </w:lvl>
  </w:abstractNum>
  <w:abstractNum w:abstractNumId="2" w15:restartNumberingAfterBreak="0">
    <w:nsid w:val="2E3324B6"/>
    <w:multiLevelType w:val="hybridMultilevel"/>
    <w:tmpl w:val="0F78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615C1"/>
    <w:multiLevelType w:val="hybridMultilevel"/>
    <w:tmpl w:val="A6D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D8"/>
    <w:rsid w:val="00034D57"/>
    <w:rsid w:val="00087166"/>
    <w:rsid w:val="00090419"/>
    <w:rsid w:val="00112ED8"/>
    <w:rsid w:val="00127F78"/>
    <w:rsid w:val="00172680"/>
    <w:rsid w:val="00176ED3"/>
    <w:rsid w:val="001949E1"/>
    <w:rsid w:val="001D4F07"/>
    <w:rsid w:val="00205CBF"/>
    <w:rsid w:val="00242641"/>
    <w:rsid w:val="00262BB4"/>
    <w:rsid w:val="002841D8"/>
    <w:rsid w:val="002C6F29"/>
    <w:rsid w:val="00305AAD"/>
    <w:rsid w:val="00355E5E"/>
    <w:rsid w:val="003630E9"/>
    <w:rsid w:val="00387D70"/>
    <w:rsid w:val="003A3688"/>
    <w:rsid w:val="003B78FB"/>
    <w:rsid w:val="003C571B"/>
    <w:rsid w:val="003E7EC7"/>
    <w:rsid w:val="003F355A"/>
    <w:rsid w:val="003F48E6"/>
    <w:rsid w:val="00487223"/>
    <w:rsid w:val="00504686"/>
    <w:rsid w:val="005647B0"/>
    <w:rsid w:val="00576C8C"/>
    <w:rsid w:val="00604D0E"/>
    <w:rsid w:val="006128CA"/>
    <w:rsid w:val="00691867"/>
    <w:rsid w:val="006D1E1A"/>
    <w:rsid w:val="006F0E56"/>
    <w:rsid w:val="00740D10"/>
    <w:rsid w:val="007479A2"/>
    <w:rsid w:val="0076354C"/>
    <w:rsid w:val="007737D8"/>
    <w:rsid w:val="007A0494"/>
    <w:rsid w:val="007A57B0"/>
    <w:rsid w:val="007B3925"/>
    <w:rsid w:val="007C6A29"/>
    <w:rsid w:val="007C71E5"/>
    <w:rsid w:val="00880C2E"/>
    <w:rsid w:val="008E2B3A"/>
    <w:rsid w:val="00912687"/>
    <w:rsid w:val="00920C98"/>
    <w:rsid w:val="00953895"/>
    <w:rsid w:val="00966081"/>
    <w:rsid w:val="00980DC6"/>
    <w:rsid w:val="009C34D5"/>
    <w:rsid w:val="009D3DF1"/>
    <w:rsid w:val="009D765F"/>
    <w:rsid w:val="00A04CF4"/>
    <w:rsid w:val="00A32A78"/>
    <w:rsid w:val="00A9748A"/>
    <w:rsid w:val="00AA5E7B"/>
    <w:rsid w:val="00AC7D2D"/>
    <w:rsid w:val="00AD6082"/>
    <w:rsid w:val="00AF159B"/>
    <w:rsid w:val="00B1624B"/>
    <w:rsid w:val="00B51E42"/>
    <w:rsid w:val="00B95083"/>
    <w:rsid w:val="00C01316"/>
    <w:rsid w:val="00D17840"/>
    <w:rsid w:val="00D21DD9"/>
    <w:rsid w:val="00D52560"/>
    <w:rsid w:val="00DC1874"/>
    <w:rsid w:val="00DF2842"/>
    <w:rsid w:val="00EC5510"/>
    <w:rsid w:val="00EF798F"/>
    <w:rsid w:val="00F16E5B"/>
    <w:rsid w:val="00F31611"/>
    <w:rsid w:val="00F91982"/>
    <w:rsid w:val="00FC43EB"/>
    <w:rsid w:val="00FD7D04"/>
    <w:rsid w:val="00FE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9B9D"/>
  <w15:docId w15:val="{CEF2D79A-9581-47A1-96E4-E384BA42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223"/>
    <w:pPr>
      <w:spacing w:after="0" w:line="300" w:lineRule="auto"/>
    </w:pPr>
    <w:rPr>
      <w:rFonts w:ascii="Arial" w:hAnsi="Arial"/>
    </w:rPr>
  </w:style>
  <w:style w:type="paragraph" w:styleId="Heading1">
    <w:name w:val="heading 1"/>
    <w:basedOn w:val="Normal"/>
    <w:next w:val="Normal"/>
    <w:link w:val="Heading1Char"/>
    <w:qFormat/>
    <w:rsid w:val="00EF798F"/>
    <w:pPr>
      <w:outlineLvl w:val="0"/>
    </w:pPr>
    <w:rPr>
      <w:b/>
    </w:rPr>
  </w:style>
  <w:style w:type="paragraph" w:styleId="Heading2">
    <w:name w:val="heading 2"/>
    <w:basedOn w:val="Normal"/>
    <w:next w:val="Normal"/>
    <w:link w:val="Heading2Char"/>
    <w:uiPriority w:val="9"/>
    <w:semiHidden/>
    <w:unhideWhenUsed/>
    <w:qFormat/>
    <w:rsid w:val="00EF79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E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95083"/>
    <w:pPr>
      <w:tabs>
        <w:tab w:val="center" w:pos="4513"/>
        <w:tab w:val="right" w:pos="9026"/>
      </w:tabs>
      <w:spacing w:line="240" w:lineRule="auto"/>
    </w:pPr>
  </w:style>
  <w:style w:type="character" w:customStyle="1" w:styleId="HeaderChar">
    <w:name w:val="Header Char"/>
    <w:basedOn w:val="DefaultParagraphFont"/>
    <w:link w:val="Header"/>
    <w:uiPriority w:val="99"/>
    <w:rsid w:val="00B95083"/>
    <w:rPr>
      <w:rFonts w:ascii="Arial" w:hAnsi="Arial"/>
    </w:rPr>
  </w:style>
  <w:style w:type="paragraph" w:styleId="Footer">
    <w:name w:val="footer"/>
    <w:basedOn w:val="Normal"/>
    <w:link w:val="FooterChar"/>
    <w:uiPriority w:val="99"/>
    <w:unhideWhenUsed/>
    <w:rsid w:val="00B95083"/>
    <w:pPr>
      <w:tabs>
        <w:tab w:val="center" w:pos="4513"/>
        <w:tab w:val="right" w:pos="9026"/>
      </w:tabs>
      <w:spacing w:line="240" w:lineRule="auto"/>
    </w:pPr>
  </w:style>
  <w:style w:type="character" w:customStyle="1" w:styleId="FooterChar">
    <w:name w:val="Footer Char"/>
    <w:basedOn w:val="DefaultParagraphFont"/>
    <w:link w:val="Footer"/>
    <w:uiPriority w:val="99"/>
    <w:rsid w:val="00B95083"/>
    <w:rPr>
      <w:rFonts w:ascii="Arial" w:hAnsi="Arial"/>
    </w:rPr>
  </w:style>
  <w:style w:type="paragraph" w:customStyle="1" w:styleId="Disclaimer">
    <w:name w:val="Disclaimer"/>
    <w:basedOn w:val="Normal"/>
    <w:next w:val="Normal"/>
    <w:qFormat/>
    <w:rsid w:val="00B95083"/>
    <w:pPr>
      <w:spacing w:after="60" w:line="240" w:lineRule="auto"/>
    </w:pPr>
    <w:rPr>
      <w:sz w:val="16"/>
    </w:rPr>
  </w:style>
  <w:style w:type="paragraph" w:styleId="Title">
    <w:name w:val="Title"/>
    <w:basedOn w:val="Normal"/>
    <w:next w:val="Normal"/>
    <w:link w:val="TitleChar"/>
    <w:uiPriority w:val="10"/>
    <w:qFormat/>
    <w:rsid w:val="00953895"/>
    <w:pPr>
      <w:spacing w:line="240" w:lineRule="auto"/>
      <w:jc w:val="center"/>
    </w:pPr>
    <w:rPr>
      <w:b/>
      <w:sz w:val="32"/>
    </w:rPr>
  </w:style>
  <w:style w:type="character" w:customStyle="1" w:styleId="TitleChar">
    <w:name w:val="Title Char"/>
    <w:basedOn w:val="DefaultParagraphFont"/>
    <w:link w:val="Title"/>
    <w:uiPriority w:val="10"/>
    <w:rsid w:val="00953895"/>
    <w:rPr>
      <w:rFonts w:ascii="Arial" w:hAnsi="Arial"/>
      <w:b/>
      <w:sz w:val="32"/>
    </w:rPr>
  </w:style>
  <w:style w:type="paragraph" w:styleId="Subtitle">
    <w:name w:val="Subtitle"/>
    <w:basedOn w:val="Title"/>
    <w:next w:val="Normal"/>
    <w:link w:val="SubtitleChar"/>
    <w:uiPriority w:val="11"/>
    <w:qFormat/>
    <w:rsid w:val="007B3925"/>
    <w:rPr>
      <w:sz w:val="28"/>
    </w:rPr>
  </w:style>
  <w:style w:type="character" w:customStyle="1" w:styleId="SubtitleChar">
    <w:name w:val="Subtitle Char"/>
    <w:basedOn w:val="DefaultParagraphFont"/>
    <w:link w:val="Subtitle"/>
    <w:uiPriority w:val="11"/>
    <w:rsid w:val="007B3925"/>
    <w:rPr>
      <w:rFonts w:ascii="Arial" w:hAnsi="Arial"/>
      <w:b/>
      <w:sz w:val="28"/>
    </w:rPr>
  </w:style>
  <w:style w:type="paragraph" w:styleId="ListParagraph">
    <w:name w:val="List Paragraph"/>
    <w:basedOn w:val="Normal"/>
    <w:uiPriority w:val="34"/>
    <w:qFormat/>
    <w:rsid w:val="00920C98"/>
    <w:pPr>
      <w:ind w:left="720"/>
      <w:contextualSpacing/>
    </w:pPr>
  </w:style>
  <w:style w:type="character" w:customStyle="1" w:styleId="Heading1Char">
    <w:name w:val="Heading 1 Char"/>
    <w:basedOn w:val="DefaultParagraphFont"/>
    <w:link w:val="Heading1"/>
    <w:rsid w:val="00EF798F"/>
    <w:rPr>
      <w:rFonts w:ascii="Arial" w:hAnsi="Arial"/>
      <w:b/>
    </w:rPr>
  </w:style>
  <w:style w:type="character" w:customStyle="1" w:styleId="Heading2Char">
    <w:name w:val="Heading 2 Char"/>
    <w:basedOn w:val="DefaultParagraphFont"/>
    <w:link w:val="Heading2"/>
    <w:uiPriority w:val="9"/>
    <w:semiHidden/>
    <w:rsid w:val="00EF798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F798F"/>
    <w:rPr>
      <w:color w:val="0000FF" w:themeColor="hyperlink"/>
      <w:u w:val="single"/>
    </w:rPr>
  </w:style>
  <w:style w:type="character" w:styleId="CommentReference">
    <w:name w:val="annotation reference"/>
    <w:basedOn w:val="DefaultParagraphFont"/>
    <w:uiPriority w:val="99"/>
    <w:semiHidden/>
    <w:unhideWhenUsed/>
    <w:rsid w:val="00FE5CAF"/>
    <w:rPr>
      <w:sz w:val="16"/>
      <w:szCs w:val="16"/>
    </w:rPr>
  </w:style>
  <w:style w:type="paragraph" w:styleId="CommentText">
    <w:name w:val="annotation text"/>
    <w:basedOn w:val="Normal"/>
    <w:link w:val="CommentTextChar"/>
    <w:uiPriority w:val="99"/>
    <w:semiHidden/>
    <w:unhideWhenUsed/>
    <w:rsid w:val="00FE5CAF"/>
    <w:pPr>
      <w:spacing w:line="240" w:lineRule="auto"/>
    </w:pPr>
    <w:rPr>
      <w:sz w:val="20"/>
      <w:szCs w:val="20"/>
    </w:rPr>
  </w:style>
  <w:style w:type="character" w:customStyle="1" w:styleId="CommentTextChar">
    <w:name w:val="Comment Text Char"/>
    <w:basedOn w:val="DefaultParagraphFont"/>
    <w:link w:val="CommentText"/>
    <w:uiPriority w:val="99"/>
    <w:semiHidden/>
    <w:rsid w:val="00FE5C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5CAF"/>
    <w:rPr>
      <w:b/>
      <w:bCs/>
    </w:rPr>
  </w:style>
  <w:style w:type="character" w:customStyle="1" w:styleId="CommentSubjectChar">
    <w:name w:val="Comment Subject Char"/>
    <w:basedOn w:val="CommentTextChar"/>
    <w:link w:val="CommentSubject"/>
    <w:uiPriority w:val="99"/>
    <w:semiHidden/>
    <w:rsid w:val="00FE5CAF"/>
    <w:rPr>
      <w:rFonts w:ascii="Arial" w:hAnsi="Arial"/>
      <w:b/>
      <w:bCs/>
      <w:sz w:val="20"/>
      <w:szCs w:val="20"/>
    </w:rPr>
  </w:style>
  <w:style w:type="paragraph" w:styleId="BalloonText">
    <w:name w:val="Balloon Text"/>
    <w:basedOn w:val="Normal"/>
    <w:link w:val="BalloonTextChar"/>
    <w:uiPriority w:val="99"/>
    <w:semiHidden/>
    <w:unhideWhenUsed/>
    <w:rsid w:val="00FE5C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4" ma:contentTypeDescription="Create a new document." ma:contentTypeScope="" ma:versionID="efb23732897d884d63f2873b6f704fcc">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59090305074c0acac4ad1ad443a1ddf4"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01030-9234-4882-9872-00D6C37731AF}"/>
</file>

<file path=customXml/itemProps2.xml><?xml version="1.0" encoding="utf-8"?>
<ds:datastoreItem xmlns:ds="http://schemas.openxmlformats.org/officeDocument/2006/customXml" ds:itemID="{4CA6907F-DC92-450B-9C06-0D4D76F22B8F}"/>
</file>

<file path=customXml/itemProps3.xml><?xml version="1.0" encoding="utf-8"?>
<ds:datastoreItem xmlns:ds="http://schemas.openxmlformats.org/officeDocument/2006/customXml" ds:itemID="{B09AEDC7-B5F6-42EF-AEC0-605B0F84241F}"/>
</file>

<file path=docProps/app.xml><?xml version="1.0" encoding="utf-8"?>
<Properties xmlns="http://schemas.openxmlformats.org/officeDocument/2006/extended-properties" xmlns:vt="http://schemas.openxmlformats.org/officeDocument/2006/docPropsVTypes">
  <Template>Normal</Template>
  <TotalTime>11</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HGCA</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boyse</dc:creator>
  <cp:lastModifiedBy>Pete Berry</cp:lastModifiedBy>
  <cp:revision>3</cp:revision>
  <dcterms:created xsi:type="dcterms:W3CDTF">2018-07-19T04:25:00Z</dcterms:created>
  <dcterms:modified xsi:type="dcterms:W3CDTF">2018-07-19T04:36:00Z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